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4F9E" w14:textId="0FB77B5E" w:rsidR="00361AEE" w:rsidRPr="00D329A2" w:rsidRDefault="00361AEE" w:rsidP="00361AEE">
      <w:pPr>
        <w:spacing w:after="200" w:line="276" w:lineRule="auto"/>
        <w:jc w:val="center"/>
        <w:rPr>
          <w:rFonts w:ascii="Palatino Linotype" w:eastAsia="Calibri" w:hAnsi="Palatino Linotype" w:cs="Calibri"/>
          <w:b/>
          <w:sz w:val="24"/>
          <w:szCs w:val="24"/>
          <w:lang w:val="tg-Cyrl-TJ"/>
        </w:rPr>
      </w:pPr>
      <w:r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ОБЪЯВЛЕНИЕ ПРОВЕДЕНИЯ ТЕНДЕРА №</w:t>
      </w:r>
      <w:r w:rsidR="00450D3E" w:rsidRPr="003B04AF">
        <w:rPr>
          <w:rFonts w:ascii="Palatino Linotype" w:eastAsia="Calibri" w:hAnsi="Palatino Linotype" w:cs="Calibri"/>
          <w:b/>
          <w:sz w:val="24"/>
          <w:szCs w:val="24"/>
          <w:lang w:val="tg-Cyrl-TJ"/>
        </w:rPr>
        <w:t>1</w:t>
      </w:r>
      <w:r w:rsidR="00A548C9">
        <w:rPr>
          <w:rFonts w:ascii="Palatino Linotype" w:eastAsia="Calibri" w:hAnsi="Palatino Linotype" w:cs="Calibri"/>
          <w:b/>
          <w:sz w:val="24"/>
          <w:szCs w:val="24"/>
          <w:lang w:val="tg-Cyrl-TJ"/>
        </w:rPr>
        <w:t>6</w:t>
      </w:r>
    </w:p>
    <w:p w14:paraId="3FFB71EE" w14:textId="1C1A3A11" w:rsidR="00DA0476" w:rsidRPr="003B04AF" w:rsidRDefault="00361AEE" w:rsidP="00857ED0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ЗАО </w:t>
      </w:r>
      <w:r w:rsidR="006F4E3C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БАНК</w:t>
      </w: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 «ИМОН Интернешнл» объявляет открытый тендер </w:t>
      </w:r>
      <w:r w:rsidR="00857ED0"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на предмет выбора </w:t>
      </w:r>
      <w:r w:rsidR="00A548C9" w:rsidRPr="00A548C9">
        <w:rPr>
          <w:rFonts w:ascii="Palatino Linotype" w:eastAsia="Calibri" w:hAnsi="Palatino Linotype" w:cs="Times New Roman"/>
          <w:b/>
          <w:sz w:val="24"/>
          <w:szCs w:val="24"/>
          <w:lang w:val="tg-Cyrl-TJ"/>
        </w:rPr>
        <w:t>поставщика по продлению лицензии антивируса Kaspersky и Kaspersky Security Mail Gateway</w:t>
      </w:r>
    </w:p>
    <w:p w14:paraId="04232C9D" w14:textId="76CF8CE4" w:rsidR="00BF000A" w:rsidRDefault="00361AEE" w:rsidP="00936529">
      <w:pPr>
        <w:spacing w:after="0" w:line="276" w:lineRule="auto"/>
        <w:jc w:val="center"/>
        <w:rPr>
          <w:rFonts w:ascii="Palatino Linotype" w:eastAsia="Calibri" w:hAnsi="Palatino Linotype" w:cs="Times New Roman"/>
          <w:b/>
          <w:sz w:val="24"/>
          <w:szCs w:val="24"/>
        </w:rPr>
      </w:pPr>
      <w:r w:rsidRPr="003B04AF">
        <w:rPr>
          <w:rFonts w:ascii="Palatino Linotype" w:eastAsia="Calibri" w:hAnsi="Palatino Linotype" w:cs="Times New Roman"/>
          <w:b/>
          <w:sz w:val="24"/>
          <w:szCs w:val="24"/>
        </w:rPr>
        <w:t xml:space="preserve">Требования к </w:t>
      </w:r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>поставщик</w:t>
      </w:r>
      <w:r w:rsidR="00A548C9">
        <w:rPr>
          <w:rFonts w:ascii="Palatino Linotype" w:eastAsia="Calibri" w:hAnsi="Palatino Linotype" w:cs="Times New Roman"/>
          <w:b/>
          <w:sz w:val="24"/>
          <w:szCs w:val="24"/>
        </w:rPr>
        <w:t>у</w:t>
      </w:r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 xml:space="preserve"> по продлению лицензии антивируса </w:t>
      </w:r>
      <w:proofErr w:type="spellStart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>Kaspersky</w:t>
      </w:r>
      <w:proofErr w:type="spellEnd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 xml:space="preserve"> и </w:t>
      </w:r>
      <w:proofErr w:type="spellStart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>Kaspersky</w:t>
      </w:r>
      <w:proofErr w:type="spellEnd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proofErr w:type="spellStart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>Security</w:t>
      </w:r>
      <w:proofErr w:type="spellEnd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proofErr w:type="spellStart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>Mail</w:t>
      </w:r>
      <w:proofErr w:type="spellEnd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proofErr w:type="spellStart"/>
      <w:r w:rsidR="00A548C9" w:rsidRPr="00A548C9">
        <w:rPr>
          <w:rFonts w:ascii="Palatino Linotype" w:eastAsia="Calibri" w:hAnsi="Palatino Linotype" w:cs="Times New Roman"/>
          <w:b/>
          <w:sz w:val="24"/>
          <w:szCs w:val="24"/>
        </w:rPr>
        <w:t>Gateway</w:t>
      </w:r>
      <w:proofErr w:type="spellEnd"/>
      <w:r w:rsidR="00A548C9">
        <w:rPr>
          <w:rFonts w:ascii="Palatino Linotype" w:eastAsia="Calibri" w:hAnsi="Palatino Linotype" w:cs="Times New Roman"/>
          <w:b/>
          <w:sz w:val="24"/>
          <w:szCs w:val="24"/>
        </w:rPr>
        <w:t xml:space="preserve"> согласно следующей спецификации:</w:t>
      </w:r>
    </w:p>
    <w:p w14:paraId="39E3E51C" w14:textId="77777777" w:rsidR="00A548C9" w:rsidRPr="00A548C9" w:rsidRDefault="00A548C9" w:rsidP="00936529">
      <w:pPr>
        <w:spacing w:after="0" w:line="276" w:lineRule="auto"/>
        <w:ind w:firstLine="708"/>
        <w:rPr>
          <w:rFonts w:ascii="Palatino Linotype" w:eastAsia="Calibri" w:hAnsi="Palatino Linotype" w:cs="Times New Roman"/>
          <w:b/>
          <w:sz w:val="28"/>
          <w:szCs w:val="28"/>
          <w:lang w:val="tg-Cyrl-TJ"/>
        </w:rPr>
      </w:pPr>
      <w:r w:rsidRPr="00A548C9">
        <w:rPr>
          <w:rFonts w:ascii="Palatino Linotype" w:eastAsia="Calibri" w:hAnsi="Palatino Linotype" w:cs="Times New Roman"/>
          <w:b/>
          <w:sz w:val="28"/>
          <w:szCs w:val="28"/>
          <w:lang w:val="tg-Cyrl-TJ"/>
        </w:rPr>
        <w:t>Kaspersky Mail Security Gateway:  3358-0006C7-57989A65</w:t>
      </w:r>
    </w:p>
    <w:p w14:paraId="76D9433A" w14:textId="77777777" w:rsidR="00A548C9" w:rsidRPr="00A548C9" w:rsidRDefault="00A548C9" w:rsidP="00936529">
      <w:pPr>
        <w:spacing w:after="0" w:line="276" w:lineRule="auto"/>
        <w:ind w:firstLine="708"/>
        <w:rPr>
          <w:rFonts w:ascii="Palatino Linotype" w:eastAsia="Calibri" w:hAnsi="Palatino Linotype" w:cs="Times New Roman"/>
          <w:b/>
          <w:sz w:val="28"/>
          <w:szCs w:val="28"/>
          <w:lang w:val="tg-Cyrl-TJ"/>
        </w:rPr>
      </w:pPr>
      <w:r w:rsidRPr="00A548C9">
        <w:rPr>
          <w:rFonts w:ascii="Palatino Linotype" w:eastAsia="Calibri" w:hAnsi="Palatino Linotype" w:cs="Times New Roman"/>
          <w:b/>
          <w:sz w:val="28"/>
          <w:szCs w:val="28"/>
          <w:lang w:val="tg-Cyrl-TJ"/>
        </w:rPr>
        <w:t>Kaspersky Endpoint Security: 3B80-260318-063126-566-1091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3638"/>
        <w:gridCol w:w="1525"/>
        <w:gridCol w:w="1550"/>
        <w:gridCol w:w="4202"/>
      </w:tblGrid>
      <w:tr w:rsidR="00A548C9" w:rsidRPr="00A548C9" w14:paraId="24C5A639" w14:textId="77777777" w:rsidTr="00842E33">
        <w:tc>
          <w:tcPr>
            <w:tcW w:w="3686" w:type="dxa"/>
          </w:tcPr>
          <w:p w14:paraId="07F50308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5D82003A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14:paraId="5F4FA55C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 xml:space="preserve">Срок действия </w:t>
            </w:r>
          </w:p>
        </w:tc>
        <w:tc>
          <w:tcPr>
            <w:tcW w:w="4252" w:type="dxa"/>
          </w:tcPr>
          <w:p w14:paraId="0D8790AB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Спецификации</w:t>
            </w:r>
          </w:p>
        </w:tc>
      </w:tr>
      <w:tr w:rsidR="00A548C9" w:rsidRPr="00A548C9" w14:paraId="7D71EB85" w14:textId="77777777" w:rsidTr="00842E33">
        <w:tc>
          <w:tcPr>
            <w:tcW w:w="3686" w:type="dxa"/>
          </w:tcPr>
          <w:p w14:paraId="4D8691BA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  <w:lang w:val="en-US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Продление</w:t>
            </w:r>
            <w:r w:rsidRPr="00A548C9">
              <w:rPr>
                <w:rFonts w:ascii="Palatino Linotype" w:eastAsia="Calibri" w:hAnsi="Palatino Linotype" w:cs="Calibri"/>
                <w:sz w:val="24"/>
                <w:szCs w:val="24"/>
                <w:lang w:val="en-US"/>
              </w:rPr>
              <w:t xml:space="preserve"> Kaspersky Endpoint Security for Business</w:t>
            </w:r>
          </w:p>
        </w:tc>
        <w:tc>
          <w:tcPr>
            <w:tcW w:w="1418" w:type="dxa"/>
          </w:tcPr>
          <w:p w14:paraId="3E916F2D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14:paraId="6C62ECAF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1 год</w:t>
            </w:r>
          </w:p>
        </w:tc>
        <w:tc>
          <w:tcPr>
            <w:tcW w:w="4252" w:type="dxa"/>
          </w:tcPr>
          <w:p w14:paraId="2A1EDF86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proofErr w:type="spellStart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Windows</w:t>
            </w:r>
            <w:proofErr w:type="spellEnd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 xml:space="preserve"> XP, 7, 10, 11, </w:t>
            </w:r>
            <w:proofErr w:type="spellStart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Linux</w:t>
            </w:r>
            <w:proofErr w:type="spellEnd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 xml:space="preserve">, </w:t>
            </w:r>
            <w:proofErr w:type="spellStart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MacO</w:t>
            </w:r>
            <w:proofErr w:type="spellEnd"/>
          </w:p>
        </w:tc>
      </w:tr>
      <w:tr w:rsidR="00A548C9" w:rsidRPr="00A548C9" w14:paraId="013FF107" w14:textId="77777777" w:rsidTr="00842E33">
        <w:tc>
          <w:tcPr>
            <w:tcW w:w="3686" w:type="dxa"/>
          </w:tcPr>
          <w:p w14:paraId="16655756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proofErr w:type="spellStart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Kaspersky</w:t>
            </w:r>
            <w:proofErr w:type="spellEnd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 xml:space="preserve"> </w:t>
            </w:r>
            <w:proofErr w:type="spellStart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Security</w:t>
            </w:r>
            <w:proofErr w:type="spellEnd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 xml:space="preserve"> </w:t>
            </w:r>
            <w:proofErr w:type="spellStart"/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Centre</w:t>
            </w:r>
            <w:proofErr w:type="spellEnd"/>
          </w:p>
        </w:tc>
        <w:tc>
          <w:tcPr>
            <w:tcW w:w="1418" w:type="dxa"/>
          </w:tcPr>
          <w:p w14:paraId="48D44832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2E28AB9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1 год</w:t>
            </w:r>
          </w:p>
        </w:tc>
        <w:tc>
          <w:tcPr>
            <w:tcW w:w="4252" w:type="dxa"/>
          </w:tcPr>
          <w:p w14:paraId="17F0858B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Консоль централизованного управления</w:t>
            </w:r>
          </w:p>
        </w:tc>
      </w:tr>
      <w:tr w:rsidR="00A548C9" w:rsidRPr="00A548C9" w14:paraId="02836285" w14:textId="77777777" w:rsidTr="00842E33">
        <w:tc>
          <w:tcPr>
            <w:tcW w:w="3686" w:type="dxa"/>
          </w:tcPr>
          <w:p w14:paraId="0D0E509E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  <w:lang w:val="en-US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Продление</w:t>
            </w:r>
            <w:r w:rsidRPr="00A548C9">
              <w:rPr>
                <w:rFonts w:ascii="Palatino Linotype" w:eastAsia="Calibri" w:hAnsi="Palatino Linotype" w:cs="Calibri"/>
                <w:sz w:val="24"/>
                <w:szCs w:val="24"/>
                <w:lang w:val="en-US"/>
              </w:rPr>
              <w:t xml:space="preserve"> Kaspersky Mail Security Gateway</w:t>
            </w:r>
          </w:p>
        </w:tc>
        <w:tc>
          <w:tcPr>
            <w:tcW w:w="1418" w:type="dxa"/>
          </w:tcPr>
          <w:p w14:paraId="79378447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61DA9D0D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1 год</w:t>
            </w:r>
          </w:p>
        </w:tc>
        <w:tc>
          <w:tcPr>
            <w:tcW w:w="4252" w:type="dxa"/>
          </w:tcPr>
          <w:p w14:paraId="1AC7EAB2" w14:textId="77777777" w:rsidR="00A548C9" w:rsidRPr="00A548C9" w:rsidRDefault="00A548C9" w:rsidP="00A548C9">
            <w:pPr>
              <w:spacing w:line="252" w:lineRule="auto"/>
              <w:jc w:val="center"/>
              <w:rPr>
                <w:rFonts w:ascii="Palatino Linotype" w:eastAsia="Calibri" w:hAnsi="Palatino Linotype" w:cs="Calibri"/>
                <w:sz w:val="24"/>
                <w:szCs w:val="24"/>
              </w:rPr>
            </w:pPr>
            <w:r w:rsidRPr="00A548C9">
              <w:rPr>
                <w:rFonts w:ascii="Palatino Linotype" w:eastAsia="Calibri" w:hAnsi="Palatino Linotype" w:cs="Calibri"/>
                <w:sz w:val="24"/>
                <w:szCs w:val="24"/>
              </w:rPr>
              <w:t>Почтовая антивирусная система</w:t>
            </w:r>
          </w:p>
        </w:tc>
      </w:tr>
    </w:tbl>
    <w:p w14:paraId="1AFCAA47" w14:textId="27366123" w:rsidR="006F4E3C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bookmarkStart w:id="0" w:name="_Hlk217318974"/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Предмет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</w:t>
      </w:r>
      <w:bookmarkEnd w:id="0"/>
      <w:r w:rsidR="00A548C9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выбор </w:t>
      </w:r>
      <w:r w:rsidR="00A548C9" w:rsidRPr="00A548C9">
        <w:rPr>
          <w:rFonts w:ascii="Palatino Linotype" w:eastAsia="Calibri" w:hAnsi="Palatino Linotype" w:cs="Calibri"/>
          <w:sz w:val="28"/>
          <w:szCs w:val="28"/>
          <w:lang w:val="tg-Cyrl-TJ"/>
        </w:rPr>
        <w:t>поставщика по продлению лицензии антивируса Kaspersky и Kaspersky Security Mail Gateway</w:t>
      </w:r>
    </w:p>
    <w:p w14:paraId="5A35DCCD" w14:textId="3DC71EFD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Вид тендера: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открытый тендер</w:t>
      </w:r>
    </w:p>
    <w:p w14:paraId="5F64923E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 xml:space="preserve">Место проведения тендера: 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Республика Таджикистан, город Худжанд, 17 микрорайон, дом 2 </w:t>
      </w:r>
    </w:p>
    <w:p w14:paraId="304B3256" w14:textId="7CBC0896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Заявки и пакет тендерных предложений будут приниматься до </w:t>
      </w:r>
      <w:r w:rsidR="00A548C9">
        <w:rPr>
          <w:rFonts w:ascii="Palatino Linotype" w:eastAsia="Calibri" w:hAnsi="Palatino Linotype" w:cs="Calibri"/>
          <w:sz w:val="28"/>
          <w:szCs w:val="28"/>
          <w:lang w:val="tg-Cyrl-TJ"/>
        </w:rPr>
        <w:t>30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6F4E3C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</w:t>
      </w:r>
    </w:p>
    <w:p w14:paraId="4FD6D0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Список требуемых документов, которые должны быть предоставлены в запечатанном конверте с подписью:</w:t>
      </w:r>
    </w:p>
    <w:p w14:paraId="7F0D891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«Тендерная заявка» (Приложение Т-8)  </w:t>
      </w:r>
    </w:p>
    <w:p w14:paraId="455166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«Таблица цен» (Приложение Т-9)</w:t>
      </w:r>
    </w:p>
    <w:p w14:paraId="5EC92A4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«Сведения об участнике тендера» (Приложение Т-10)</w:t>
      </w:r>
    </w:p>
    <w:p w14:paraId="6666E703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Перечень кредитных и иных Организаций, с которыми контрагент заключал тендерные договора (Приложение Т-11)</w:t>
      </w:r>
    </w:p>
    <w:p w14:paraId="14B9516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Справка о финансовом состоянии за последний год (если деятельность осуществляется в течение меньшего срока - за весь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lastRenderedPageBreak/>
        <w:t>период деятельности) (или заполнит</w:t>
      </w:r>
      <w:r w:rsidRPr="00361AEE">
        <w:rPr>
          <w:rFonts w:ascii="Palatino Linotype" w:eastAsia="Times New Roman" w:hAnsi="Palatino Linotype" w:cs="Calibri"/>
          <w:sz w:val="28"/>
          <w:szCs w:val="28"/>
          <w:lang w:eastAsia="ru-RU"/>
        </w:rPr>
        <w:t xml:space="preserve">ь </w:t>
      </w: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Приложение Т-13)</w:t>
      </w:r>
    </w:p>
    <w:p w14:paraId="2474CB2A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Копия свидетельство о государственной регистрации юридического лица, либо индивидуального предпринимателя; </w:t>
      </w:r>
    </w:p>
    <w:p w14:paraId="2FA2CF9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 xml:space="preserve">Выписка из единого государственного реестра, </w:t>
      </w:r>
    </w:p>
    <w:p w14:paraId="1401C831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Доверенность на уполномоченное лицо (в случае если договор не подписывается руководителем юридического лица)</w:t>
      </w:r>
    </w:p>
    <w:p w14:paraId="2369C377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паспорта физического лица (при подписании договора с индивидуальным предпринимателем)</w:t>
      </w:r>
    </w:p>
    <w:p w14:paraId="2B7C6088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Копия свидетельства о присвоении ИНН</w:t>
      </w:r>
    </w:p>
    <w:p w14:paraId="5D901300" w14:textId="77777777" w:rsidR="00361AEE" w:rsidRPr="00361AEE" w:rsidRDefault="00361AEE" w:rsidP="00361A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</w:pPr>
      <w:r w:rsidRPr="00361AEE">
        <w:rPr>
          <w:rFonts w:ascii="Palatino Linotype" w:eastAsia="Times New Roman" w:hAnsi="Palatino Linotype" w:cs="Calibri"/>
          <w:sz w:val="28"/>
          <w:szCs w:val="28"/>
          <w:lang w:val="tg-Cyrl-TJ" w:eastAsia="ru-RU"/>
        </w:rPr>
        <w:t>Разрешительные документы (лицензия, сертификат и иные документы)</w:t>
      </w:r>
    </w:p>
    <w:p w14:paraId="7B35DFC8" w14:textId="77777777" w:rsidR="00361AEE" w:rsidRPr="00361AEE" w:rsidRDefault="00361AEE" w:rsidP="00361AEE">
      <w:pPr>
        <w:spacing w:after="200" w:line="276" w:lineRule="auto"/>
        <w:ind w:firstLine="708"/>
        <w:jc w:val="center"/>
        <w:rPr>
          <w:rFonts w:ascii="Palatino Linotype" w:eastAsia="Calibri" w:hAnsi="Palatino Linotype" w:cs="Calibri"/>
          <w:b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b/>
          <w:sz w:val="28"/>
          <w:szCs w:val="28"/>
          <w:lang w:val="tg-Cyrl-TJ"/>
        </w:rPr>
        <w:t>Дополнительные требования к пакету документов</w:t>
      </w:r>
    </w:p>
    <w:p w14:paraId="5CD6F45D" w14:textId="489C92B4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Все документы должны быть предоставлены в запечатанном и подписанном конверте не позднее </w:t>
      </w:r>
      <w:r w:rsidR="00A548C9">
        <w:rPr>
          <w:rFonts w:ascii="Palatino Linotype" w:eastAsia="Calibri" w:hAnsi="Palatino Linotype" w:cs="Calibri"/>
          <w:sz w:val="28"/>
          <w:szCs w:val="28"/>
          <w:lang w:val="tg-Cyrl-TJ"/>
        </w:rPr>
        <w:t>30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  <w:r w:rsidRPr="00361AEE">
        <w:rPr>
          <w:rFonts w:ascii="Palatino Linotype" w:eastAsia="Calibri" w:hAnsi="Palatino Linotype" w:cs="Calibri"/>
          <w:sz w:val="28"/>
          <w:szCs w:val="28"/>
        </w:rPr>
        <w:t>0</w:t>
      </w:r>
      <w:r w:rsidR="006F4E3C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.202</w:t>
      </w:r>
      <w:r w:rsidRPr="00361AEE">
        <w:rPr>
          <w:rFonts w:ascii="Palatino Linotype" w:eastAsia="Calibri" w:hAnsi="Palatino Linotype" w:cs="Calibri"/>
          <w:sz w:val="28"/>
          <w:szCs w:val="28"/>
        </w:rPr>
        <w:t>6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 года, 17:00 по адресу: Республика Таджикистан, город Худжанд, 17 микрорайон, дом 2. </w:t>
      </w:r>
    </w:p>
    <w:p w14:paraId="3D69859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 представленные позднее даты предоставления, без вскрытия конверта возвращаются претенденту, а участник к Тендеру не допускается. </w:t>
      </w:r>
    </w:p>
    <w:p w14:paraId="14373B6A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Документы, подаваемые на Тендер претендентами – резидентами РТ, составляются на государственном языке Республики Таджикистан. </w:t>
      </w:r>
    </w:p>
    <w:p w14:paraId="25EF1C83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Важно!</w:t>
      </w:r>
    </w:p>
    <w:p w14:paraId="6125A09C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  <w:lang w:val="tg-Cyrl-TJ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Нерезиденты Республики Таджикистан могут отправит</w:t>
      </w:r>
      <w:r w:rsidRPr="00361AEE">
        <w:rPr>
          <w:rFonts w:ascii="Palatino Linotype" w:eastAsia="Calibri" w:hAnsi="Palatino Linotype" w:cs="Calibri"/>
          <w:sz w:val="28"/>
          <w:szCs w:val="28"/>
        </w:rPr>
        <w:t>ь тендерные заявки по электронной почте</w:t>
      </w: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>.</w:t>
      </w:r>
    </w:p>
    <w:p w14:paraId="7B8F6466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b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Нерезиденты Республики Таджикистан могут предоставить все документы в электронном формате зашифрованным паролем и предоставить пароль от файлов по запросу Организации в день вскрытия тендерных пакетов. </w:t>
      </w:r>
    </w:p>
    <w:p w14:paraId="470B9431" w14:textId="77777777" w:rsidR="00361AEE" w:rsidRPr="00361AEE" w:rsidRDefault="00361AEE" w:rsidP="00361AEE">
      <w:pPr>
        <w:spacing w:after="200" w:line="276" w:lineRule="auto"/>
        <w:ind w:firstLine="708"/>
        <w:jc w:val="both"/>
        <w:rPr>
          <w:rFonts w:ascii="Palatino Linotype" w:eastAsia="Calibri" w:hAnsi="Palatino Linotype" w:cs="Calibri"/>
          <w:sz w:val="28"/>
          <w:szCs w:val="28"/>
        </w:rPr>
      </w:pPr>
      <w:r w:rsidRPr="00361AEE">
        <w:rPr>
          <w:rFonts w:ascii="Palatino Linotype" w:eastAsia="Calibri" w:hAnsi="Palatino Linotype" w:cs="Calibri"/>
          <w:sz w:val="28"/>
          <w:szCs w:val="28"/>
          <w:lang w:val="tg-Cyrl-TJ"/>
        </w:rPr>
        <w:t xml:space="preserve">Контактные данные: </w:t>
      </w:r>
    </w:p>
    <w:p w14:paraId="25938296" w14:textId="7223F89F" w:rsidR="00496D1D" w:rsidRPr="00361AEE" w:rsidRDefault="00361AEE" w:rsidP="00936529">
      <w:pPr>
        <w:spacing w:after="200" w:line="276" w:lineRule="auto"/>
        <w:rPr>
          <w:lang w:val="tg-Cyrl-TJ"/>
        </w:rPr>
      </w:pPr>
      <w:r w:rsidRPr="00361AEE">
        <w:rPr>
          <w:rFonts w:ascii="Palatino Linotype" w:eastAsia="Calibri" w:hAnsi="Palatino Linotype" w:cs="Times New Roman"/>
          <w:sz w:val="28"/>
          <w:szCs w:val="28"/>
          <w:lang w:val="tg-Cyrl-TJ"/>
        </w:rPr>
        <w:t xml:space="preserve">Электронная почта: </w:t>
      </w:r>
      <w:r w:rsidR="00BF000A">
        <w:fldChar w:fldCharType="begin"/>
      </w:r>
      <w:r w:rsidR="00BF000A">
        <w:instrText xml:space="preserve"> HYPERLINK "mailto:tender@imon.tj" </w:instrText>
      </w:r>
      <w:r w:rsidR="00BF000A">
        <w:fldChar w:fldCharType="separate"/>
      </w:r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tender</w:t>
      </w:r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</w:rPr>
        <w:t>@</w:t>
      </w:r>
      <w:proofErr w:type="spellStart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imon</w:t>
      </w:r>
      <w:proofErr w:type="spellEnd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</w:rPr>
        <w:t>.</w:t>
      </w:r>
      <w:proofErr w:type="spellStart"/>
      <w:r w:rsidRPr="00361AEE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t>tj</w:t>
      </w:r>
      <w:proofErr w:type="spellEnd"/>
      <w:r w:rsidR="00BF000A">
        <w:rPr>
          <w:rFonts w:ascii="Palatino Linotype" w:eastAsia="Calibri" w:hAnsi="Palatino Linotype" w:cs="Times New Roman"/>
          <w:color w:val="0000FF"/>
          <w:sz w:val="28"/>
          <w:szCs w:val="28"/>
          <w:u w:val="single"/>
          <w:lang w:val="en-US"/>
        </w:rPr>
        <w:fldChar w:fldCharType="end"/>
      </w:r>
      <w:bookmarkStart w:id="1" w:name="_GoBack"/>
      <w:bookmarkEnd w:id="1"/>
    </w:p>
    <w:sectPr w:rsidR="00496D1D" w:rsidRPr="0036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E74EB"/>
    <w:multiLevelType w:val="multilevel"/>
    <w:tmpl w:val="6C58E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576665"/>
    <w:multiLevelType w:val="multilevel"/>
    <w:tmpl w:val="23A4C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91B0E"/>
    <w:multiLevelType w:val="hybridMultilevel"/>
    <w:tmpl w:val="438499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960"/>
    <w:multiLevelType w:val="hybridMultilevel"/>
    <w:tmpl w:val="C22A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65DC"/>
    <w:multiLevelType w:val="multilevel"/>
    <w:tmpl w:val="BAAA8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Palatino Linotype" w:eastAsia="Times New Roman" w:hAnsi="Palatino Linotype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2B579A"/>
    <w:multiLevelType w:val="multilevel"/>
    <w:tmpl w:val="F15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A5"/>
    <w:rsid w:val="00051AA5"/>
    <w:rsid w:val="00137A13"/>
    <w:rsid w:val="00345C88"/>
    <w:rsid w:val="00361AEE"/>
    <w:rsid w:val="003B04AF"/>
    <w:rsid w:val="00450D3E"/>
    <w:rsid w:val="00496D1D"/>
    <w:rsid w:val="005A686C"/>
    <w:rsid w:val="006F4E3C"/>
    <w:rsid w:val="00857ED0"/>
    <w:rsid w:val="00936529"/>
    <w:rsid w:val="009C3FE0"/>
    <w:rsid w:val="00A00B05"/>
    <w:rsid w:val="00A548C9"/>
    <w:rsid w:val="00BD20C2"/>
    <w:rsid w:val="00BF000A"/>
    <w:rsid w:val="00CD15B4"/>
    <w:rsid w:val="00D329A2"/>
    <w:rsid w:val="00DA0476"/>
    <w:rsid w:val="00E841ED"/>
    <w:rsid w:val="00F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B12B"/>
  <w15:chartTrackingRefBased/>
  <w15:docId w15:val="{1BC6701E-617D-4D1E-8BF7-119D5F54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Khursheda Kurbonova</dc:creator>
  <cp:keywords/>
  <dc:description/>
  <cp:lastModifiedBy>Khursheda Kurbonova</cp:lastModifiedBy>
  <cp:revision>18</cp:revision>
  <dcterms:created xsi:type="dcterms:W3CDTF">2026-03-03T08:10:00Z</dcterms:created>
  <dcterms:modified xsi:type="dcterms:W3CDTF">2026-06-11T03:22:00Z</dcterms:modified>
</cp:coreProperties>
</file>